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17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Helvetica" w:hAnsi="Helvetica" w:eastAsia="Helvetica" w:cs="Helvetica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甘肃桓安科技有限公司</w:t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6"/>
          <w:szCs w:val="36"/>
          <w:shd w:val="clear" w:fill="FFFFFF"/>
        </w:rPr>
        <w:t>清洁生产审核公示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根据国家环境保护部《关于深入推进重点企业清洁生产的通知》、甘肃省政府《关于加快推进清洁生产的实施意见》、甘肃省生态环境厅关于印发《甘肃省清洁生产审核实施方案（2021-2023）》（甘环气候发〔2021〕10 号）和甘肃省生态环境厅关于印发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《2023年甘肃省重点行业清洁生产审核企业名单》的通知”（甘环气候发〔2023〕2号）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文件的精神，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甘肃桓安科技有限公司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属于染料制造行业，本公司属于“双有”企业，属于强制清洁生产企业，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甘肃桓安科技有限公司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按照要求开展本轮（第一轮）清洁生产审核工作。</w:t>
      </w:r>
      <w:bookmarkStart w:id="4" w:name="_GoBack"/>
      <w:bookmarkEnd w:id="4"/>
    </w:p>
    <w:p>
      <w:pPr>
        <w:pStyle w:val="6"/>
        <w:adjustRightInd w:val="0"/>
        <w:snapToGrid w:val="0"/>
        <w:spacing w:line="360" w:lineRule="auto"/>
        <w:ind w:firstLine="480" w:firstLineChars="200"/>
        <w:outlineLvl w:val="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一、企业基本情况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企业名称：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甘肃桓安科技有限公司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法人代表：顾轩宇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企业地址：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甘肃省酒泉市金塔县北河湾循环经济产业园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企业主要产品及规模：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1#车间：年产350吨/年1.8-二氯蒽醌，350吨/年1.5-二氯蒽醌，15吨/年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instrText xml:space="preserve"> HYPERLINK "1.4.5.8" </w:instrTex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1.4.5.8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-四氯蒽醌，450吨/年1-氯蒽醌；2#车间：15吨/年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instrText xml:space="preserve"> HYPERLINK "1.4.5.8" </w:instrTex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1.4.5.8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-四羟基蒽醌，150吨/年分散蓝73#，20吨/年酸性蓝45#，副产20000吨/年硫酸钙（企业焚烧车间尚未建成，未经焚烧处理的硫酸钙目前作为危险废物委托资质单位处置，不作为副产，相关分析见固体废物小节）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。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本轮清洁生产审核范围主要包括：</w:t>
      </w:r>
      <w:bookmarkStart w:id="0" w:name="OLE_LINK2"/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1#车间：年产350吨/年1.8-二氯蒽醌，350吨/年1.5-二氯蒽醌，15吨/年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instrText xml:space="preserve"> HYPERLINK "1.4.5.8" </w:instrTex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1.4.5.8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-四氯蒽醌，450吨/年1-氯蒽醌；2#车间：15吨/年</w:t>
      </w:r>
      <w:bookmarkStart w:id="1" w:name="OLE_LINK8"/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instrText xml:space="preserve"> HYPERLINK "1.4.5.8" </w:instrTex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1.4.5.8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-四羟基蒽醌</w:t>
      </w:r>
      <w:bookmarkEnd w:id="1"/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，150吨/年分散蓝73#，20吨/年酸性蓝45#，副产20000吨/年</w:t>
      </w:r>
      <w:bookmarkStart w:id="2" w:name="OLE_LINK5"/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硫酸钙</w:t>
      </w:r>
      <w:bookmarkEnd w:id="0"/>
      <w:bookmarkEnd w:id="2"/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（企业焚烧车间尚未建成，未经焚烧处理的硫酸钙目前作为危险废物委托资质单位处置，不作为副产，相关分析见固体废物小节）；废水处理站。</w:t>
      </w:r>
    </w:p>
    <w:p>
      <w:pPr>
        <w:pStyle w:val="6"/>
        <w:adjustRightInd w:val="0"/>
        <w:snapToGrid w:val="0"/>
        <w:spacing w:line="360" w:lineRule="auto"/>
        <w:ind w:firstLine="480" w:firstLineChars="200"/>
        <w:outlineLvl w:val="0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二、审核前排污及处理措施情况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甘肃桓安科技有限公司</w:t>
      </w:r>
      <w:r>
        <w:rPr>
          <w:rFonts w:hint="default" w:ascii="Times New Roman" w:hAnsi="Times New Roman" w:eastAsia="仿宋" w:cs="Times New Roman"/>
          <w:sz w:val="24"/>
          <w:szCs w:val="24"/>
        </w:rPr>
        <w:t>的主要环境污染因子有：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left="0" w:firstLine="566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废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气污染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eastAsia="zh-CN"/>
        </w:rPr>
        <w:t>因子：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硫酸雾、二氧化硫、汞及其化合物、DMF、非甲烷总烃、氯化氢、氯（氯气）、苯胺类、酚类、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氨、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硫化氢、臭气浓度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、氮氧化物、二氧化硫、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颗粒物、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林格曼黑度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eastAsia="zh-CN"/>
        </w:rPr>
        <w:t>；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left="0" w:firstLine="566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废水：</w:t>
      </w:r>
      <w:r>
        <w:rPr>
          <w:rFonts w:hint="eastAsia" w:ascii="Times New Roman" w:hAnsi="Times New Roman" w:eastAsia="仿宋" w:cs="Times New Roman"/>
          <w:kern w:val="2"/>
          <w:sz w:val="24"/>
          <w:szCs w:val="22"/>
          <w:lang w:val="en-US" w:eastAsia="zh-CN" w:bidi="ar-SA"/>
        </w:rPr>
        <w:t>pH、COD、五日生化需氧量、悬浮物、硫化物、总氮、氨氮、石油类、总汞、可吸附有机卤化物、苯胺类、色度、总磷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left="0" w:firstLine="566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固体废物：生活垃圾、危险废物等；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left="0" w:firstLine="566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声源：车间内生产设备、泵等设备；</w:t>
      </w:r>
    </w:p>
    <w:p>
      <w:pPr>
        <w:spacing w:line="360" w:lineRule="auto"/>
        <w:jc w:val="center"/>
        <w:outlineLvl w:val="1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表</w:t>
      </w:r>
      <w:r>
        <w:rPr>
          <w:rFonts w:hint="eastAsia" w:eastAsia="仿宋" w:cs="Times New Roman"/>
          <w:b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>污染控制内容及污染因子</w:t>
      </w:r>
    </w:p>
    <w:p>
      <w:pPr>
        <w:spacing w:before="6" w:line="30" w:lineRule="exact"/>
        <w:jc w:val="left"/>
        <w:rPr>
          <w:rFonts w:hint="default" w:ascii="Times New Roman" w:hAnsi="Times New Roman" w:eastAsia="仿宋" w:cs="Times New Roman"/>
          <w:sz w:val="3"/>
          <w:szCs w:val="24"/>
        </w:rPr>
      </w:pPr>
    </w:p>
    <w:tbl>
      <w:tblPr>
        <w:tblStyle w:val="8"/>
        <w:tblW w:w="9113" w:type="dxa"/>
        <w:tblInd w:w="2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01"/>
        <w:gridCol w:w="1688"/>
        <w:gridCol w:w="2857"/>
        <w:gridCol w:w="27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  <w:t>污染控制内容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  <w:t>污染物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  <w:t>环境保护措施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</w:rPr>
              <w:t>污染物控制目标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废气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Cs w:val="24"/>
              </w:rPr>
              <w:t>生产车间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硫酸雾、二氧化硫、汞及其化合物、颗粒物、DMF、非甲烷总烃、氯化氢、氯（氯气）、硫化氢、臭气浓度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（1）TA001溶汞废气：一级水冷+一级深度冷凝+三级碱吸收+气液分离器+二级活性炭吸附（2）TA002盐析废气：三级降膜吸收+三级碱吸收+气液分离器+二级活性炭吸附（3）TA003氯化废气：一级水吸收+三级碱吸收+气液分离器+二级活性炭吸附（4）TA004磺化、精制废气：三级碱吸收+气液分离器+二级活性炭吸附（5）TA005四氯蒽醌干燥废气：旋风除尘+布袋除尘；其他干燥废气：自带布袋除尘（6）TA006除汞废气：三级碱吸收+气液分离器+二级活性炭吸附（7）TA007除汞压滤：二级碱吸收+气液分离器+二级活性炭吸附，上述废气处理后合并进25m排气筒DA005排放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4"/>
                <w:lang w:val="en-US" w:eastAsia="zh-CN"/>
              </w:rPr>
              <w:t>颗粒物、二氧化硫、HCl、氯气、非甲烷总烃、挥发性有机物、DMF等污染物排放满足《石油化学工业污染物排放标准》（GB31571 - 2015）；染料尘、硫酸雾、汞及其化合物等污染物排放满足《大气污染物综合排放标准》（GB16297-1996）表2二级标准；硫化氢、臭气浓度等污染物排放满足《恶臭污染物排放标准》（GB14554-93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Cs w:val="24"/>
              </w:rPr>
              <w:t>生产车间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氯化氢、二氧化硫、硫酸雾、酚类、非甲烷总烃、氨、臭气浓度、颗粒物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染料尘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（1）TA008制氨水、过滤/打浆、氨回收废气：二级水膜吸收+三级碱吸收+气液分离器+二级活性炭吸附（2）TA009酸化、磺化、转位等废气：三级碱吸收+气液分离器+二级活性炭吸附（3）TA010干燥机：自带布袋除尘+2#15m排气筒，上述废气处理后合并进25m排气筒DA006排放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4"/>
                <w:lang w:val="en-US" w:eastAsia="zh-CN"/>
              </w:rPr>
              <w:t>颗粒物、二氧化硫、HCl、酚类、非甲烷总烃、挥发性有机物等污染物排放满足《石油化学工业污染物排放标准》（GB31571 - 2015）；硫酸雾、染料尘等污染物排放满足《大气污染物综合排放标准》（GB16297-1996）表2二级标准；氨、臭气浓度等污染物排放满足《恶臭污染物排放标准》（GB14554-93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-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储罐区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硫酸雾、DMF、非甲烷总烃、氯化氢、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有机废气：一级冷凝+一级活性炭吸附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。其他储罐废气：一级碱吸收+气液分离器+一级活性炭吸附。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上述废气处理后合并进15m排气筒DA004排放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lang w:val="en-US" w:eastAsia="zh-CN"/>
              </w:rPr>
              <w:t>DMF、氮氧化物、氯化氢、非甲烷总烃、挥发性有机物等污染物排放满足《石油化学工业污染物排放标准》（GB31571 - 2015）；硫酸雾等污染物排放满足《大气污染物综合排放标准》（GB16297-1996）表2二级标准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-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污水处理站/三效蒸发、丙类危废暂存间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臭气浓度、氨、硫化氢、苯胺类、酚类、颗粒物、非甲烷总烃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（1）酸性废气经文丘里吸收+三级氨液喷淋吸收+一级水喷淋吸收+（冷凝除雾+一级活性炭吸附，车间公用）；（2）酸性有机废气经（三级氨液喷淋吸收+一级水喷淋吸收+（冷凝除雾+一级活性炭吸附，车间公用）；（3）有机废气经一级深度冷凝+(并入冷凝除雾+一级活性炭吸附，车间公用)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上述废气处理后合并进15m排气筒DA001排放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  <w:t>颗粒物、苯胺类、酚类、非甲烷总烃、挥发性有机物等污染物排放满足《石油化学工业污染物排放标准》（GB31571 - 2015）；氨、硫化氢、臭气浓度等污染物排放满足《恶臭污染物排放标准》（GB14554-93）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-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甲类危废暂存间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颗粒物、非甲烷总烃、臭气浓度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采用一级深度冷凝+一级酸喷淋吸收+一级碱喷淋+冷凝除雾+活性炭吸附装置吸收+1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m排气筒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DA002排放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  <w:t>颗粒物、非甲烷总烃等污染物排放满足《石油化学工业污染物排放标准》（GB31571 - 2015）；臭气浓度等污染物排放满足《恶臭污染物排放标准》（GB14554-93）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pacing w:val="-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燃气导热油炉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氮氧化物、二氧化硫、烟气黑度（林格曼黑度）、颗粒物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15m排气筒排放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DA007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zh-CN"/>
              </w:rPr>
              <w:t>排放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《锅炉大气污染物排放标准》（GB13271-2014）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无组织排放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2"/>
              </w:rPr>
              <w:t>非甲烷总烃、酚类、氯化氢、硫酸雾、汞及其化合物、颗粒物（染料尘）、氨、硫化氢、臭气浓度、二氧化硫、氯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密闭车间，厂区洒水降尘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《大气污染物综合排放标准》（GB16297-1996）表 2 中的 无组织监控浓度限值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废 水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生产废水、生活污水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pH、COD、五日生化需氧量、悬浮物、硫化物、总氮、氨氮、石油类、总汞、可吸附有机卤化物、苯胺类、色度、总磷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  <w:t>1车间预处理装置：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1套中和装置；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1套污水处理除汞装置（1#除汞装置）：硫化钠沉淀+除汞剂+活性炭吸附法；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1套硫酸钙处理除汞装置（2#除汞装置）：硫化钠沉淀+除汞剂+活性炭吸附法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1套硫酸钙处理除汞装置（3#除汞装置）：硫化钠沉淀+除汞剂+活性炭吸附法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  <w:t>2车间预处理装置：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1套蒸馏装置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  <w:t>厂区污水处理站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  <w:t>（处理规模800m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4"/>
                <w:lang w:val="en-US" w:eastAsia="zh-CN"/>
              </w:rPr>
              <w:t>/d）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预处理装置：1套隔油+气浮预处理装置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1套三效蒸发处理装置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综合处理系统：工艺为“PH调整池+中和池+沉淀池+铁碳微电解+芬顿氧化+pH调节+絮凝沉淀+综合配水+厌氧池+酸化水解+接触氧化+混合曝气+沉淀池+脱色+沉淀池+深度处理（活性炭吸附）”，达标废水排放园区污水处理厂。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达到《污水排入城镇下水道水质标准》（GB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T31962-2015）A等级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后排入园区污水处理厂处理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初期雨水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雨季初期雨水COD、SS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收集至初期雨水池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噪 声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生产设备噪声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设备噪声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基座减震，厂房隔声</w:t>
            </w:r>
          </w:p>
        </w:tc>
        <w:tc>
          <w:tcPr>
            <w:tcW w:w="27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《工业企业厂界环境噪声排放标准》（GB12348-2008）3 类标准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运输车辆噪声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车辆噪声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加强车辆管理，减速慢行</w:t>
            </w:r>
          </w:p>
        </w:tc>
        <w:tc>
          <w:tcPr>
            <w:tcW w:w="27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固 体 废 物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生活垃圾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集中收集，拉运至附近垃圾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堆存点统一处理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29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一般工业固废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/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instrText xml:space="preserve"> HYPERLINK http://www.mee.gov.cn/ywgz/fgbz/bz/bzwb/gthw/gtfwwrkzbz/202012/W020201218695845325455.pdf </w:instrTex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《一般工业固体废物贮存和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 xml:space="preserve"> 填埋污染控制标准（GB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18599-2020）中的相关规定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</w:p>
        </w:tc>
        <w:tc>
          <w:tcPr>
            <w:tcW w:w="29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危险废物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建设 1个</w:t>
            </w:r>
            <w:r>
              <w:rPr>
                <w:rFonts w:hint="eastAsia" w:ascii="Times New Roman" w:hAnsi="Times New Roman" w:eastAsia="仿宋" w:cs="Times New Roman"/>
                <w:color w:val="000000"/>
                <w:lang w:val="en-US" w:eastAsia="zh-CN"/>
              </w:rPr>
              <w:t>360m</w:t>
            </w:r>
            <w:r>
              <w:rPr>
                <w:rFonts w:hint="default" w:ascii="Times New Roman" w:hAnsi="Times New Roman" w:eastAsia="仿宋" w:cs="Times New Roman"/>
                <w:color w:val="000000"/>
                <w:vertAlign w:val="superscript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</w:rPr>
              <w:t>的</w:t>
            </w:r>
            <w:bookmarkStart w:id="3" w:name="OLE_LINK7"/>
            <w:r>
              <w:rPr>
                <w:rFonts w:hint="default" w:ascii="Times New Roman" w:hAnsi="Times New Roman" w:eastAsia="仿宋" w:cs="Times New Roman"/>
                <w:color w:val="000000"/>
              </w:rPr>
              <w:t>危废暂存间</w:t>
            </w:r>
            <w:bookmarkEnd w:id="3"/>
            <w:r>
              <w:rPr>
                <w:rFonts w:hint="default" w:ascii="Times New Roman" w:hAnsi="Times New Roman" w:eastAsia="仿宋" w:cs="Times New Roman"/>
                <w:color w:val="000000"/>
              </w:rPr>
              <w:t>，并做好防渗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《危险废物贮存污染控制标 准》（GB18597-20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4"/>
              </w:rPr>
              <w:t>）相关规定</w:t>
            </w:r>
          </w:p>
        </w:tc>
      </w:tr>
    </w:tbl>
    <w:p>
      <w:pPr>
        <w:pStyle w:val="6"/>
        <w:adjustRightInd w:val="0"/>
        <w:snapToGrid w:val="0"/>
        <w:spacing w:line="360" w:lineRule="auto"/>
        <w:ind w:firstLine="480" w:firstLineChars="200"/>
        <w:outlineLvl w:val="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三、环境风险防控措施落实情况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公司根据日常消耗及时补充应急物资，并按指定位置存放，安排专人进行管理和巡检，确保设施和物资完好、有效，并随时可投入使用。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公司已完成《甘肃桓安科技有限公司突发环境事件应急预案》，成立了应急领导小组，针对厂区内各类风险事故制定了应对机制，并加强了日常培训及风险事故演练。</w:t>
      </w:r>
    </w:p>
    <w:p>
      <w:pPr>
        <w:pStyle w:val="6"/>
        <w:adjustRightInd w:val="0"/>
        <w:snapToGrid w:val="0"/>
        <w:spacing w:line="360" w:lineRule="auto"/>
        <w:ind w:firstLine="480" w:firstLineChars="200"/>
        <w:outlineLvl w:val="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四、联系人及联系方式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审核企业：甘肃桓安科技有限公司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联系人：李春华</w:t>
      </w:r>
    </w:p>
    <w:p>
      <w:pPr>
        <w:pStyle w:val="6"/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联系电话：13962883155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                                                                     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right"/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                                                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    甘肃桓安科技有限公司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                                                            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月1</w:t>
      </w:r>
      <w:r>
        <w:rPr>
          <w:rFonts w:hint="eastAsia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21A"/>
    <w:multiLevelType w:val="multilevel"/>
    <w:tmpl w:val="2CFB621A"/>
    <w:lvl w:ilvl="0" w:tentative="0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D11A0"/>
    <w:rsid w:val="38212DCF"/>
    <w:rsid w:val="414203EB"/>
    <w:rsid w:val="4EB718D4"/>
    <w:rsid w:val="798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customStyle="1" w:styleId="4">
    <w:name w:val="1正文段落"/>
    <w:basedOn w:val="1"/>
    <w:qFormat/>
    <w:uiPriority w:val="0"/>
    <w:pPr>
      <w:spacing w:line="360" w:lineRule="auto"/>
      <w:ind w:firstLine="480" w:firstLineChars="200"/>
    </w:pPr>
    <w:rPr>
      <w:snapToGrid w:val="0"/>
      <w:kern w:val="0"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2023-04-11T03:29:00Z</dcterms:created>
  <dc:creator>Administrator.DESKTOP-721SC5P</dc:creator>
  <cp:lastModifiedBy>Administrator</cp:lastModifiedBy>
  <dcterms:modified xsi:type="dcterms:W3CDTF">2025-12-10T03:35:40Z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